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444" w:rsidRPr="00437444" w:rsidRDefault="00437444" w:rsidP="00437444">
      <w:pPr>
        <w:spacing w:after="0" w:line="240" w:lineRule="auto"/>
        <w:jc w:val="right"/>
        <w:outlineLvl w:val="1"/>
        <w:rPr>
          <w:rFonts w:eastAsia="Times New Roman" w:cstheme="minorHAnsi"/>
          <w:bCs/>
          <w:lang w:eastAsia="pl-PL"/>
        </w:rPr>
      </w:pPr>
      <w:r w:rsidRPr="00437444">
        <w:rPr>
          <w:rFonts w:eastAsia="Times New Roman" w:cstheme="minorHAnsi"/>
          <w:bCs/>
          <w:lang w:eastAsia="pl-PL"/>
        </w:rPr>
        <w:t>Załącz</w:t>
      </w:r>
      <w:bookmarkStart w:id="0" w:name="_GoBack"/>
      <w:bookmarkEnd w:id="0"/>
      <w:r w:rsidRPr="00437444">
        <w:rPr>
          <w:rFonts w:eastAsia="Times New Roman" w:cstheme="minorHAnsi"/>
          <w:bCs/>
          <w:lang w:eastAsia="pl-PL"/>
        </w:rPr>
        <w:t xml:space="preserve">nik nr 3 </w:t>
      </w:r>
    </w:p>
    <w:p w:rsidR="00437444" w:rsidRPr="00437444" w:rsidRDefault="00437444" w:rsidP="00437444">
      <w:pPr>
        <w:spacing w:after="0" w:line="240" w:lineRule="auto"/>
        <w:jc w:val="right"/>
        <w:outlineLvl w:val="1"/>
        <w:rPr>
          <w:rFonts w:eastAsia="Times New Roman" w:cstheme="minorHAnsi"/>
          <w:bCs/>
          <w:lang w:eastAsia="pl-PL"/>
        </w:rPr>
      </w:pPr>
      <w:r w:rsidRPr="00437444">
        <w:rPr>
          <w:rFonts w:eastAsia="Times New Roman" w:cstheme="minorHAnsi"/>
          <w:bCs/>
          <w:lang w:eastAsia="pl-PL"/>
        </w:rPr>
        <w:t>do zapytania ofertowego</w:t>
      </w:r>
    </w:p>
    <w:p w:rsidR="00437444" w:rsidRDefault="00437444" w:rsidP="0000346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</w:p>
    <w:p w:rsidR="0000346A" w:rsidRPr="0000346A" w:rsidRDefault="0000346A" w:rsidP="0000346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00346A">
        <w:rPr>
          <w:rFonts w:eastAsia="Times New Roman" w:cstheme="minorHAnsi"/>
          <w:b/>
          <w:bCs/>
          <w:lang w:eastAsia="pl-PL"/>
        </w:rPr>
        <w:t>Opis przedmiotu zamówienia</w:t>
      </w:r>
    </w:p>
    <w:p w:rsidR="0000346A" w:rsidRPr="0000346A" w:rsidRDefault="0000346A" w:rsidP="0000346A">
      <w:pPr>
        <w:spacing w:before="100" w:beforeAutospacing="1" w:after="100" w:afterAutospacing="1" w:line="240" w:lineRule="auto"/>
        <w:rPr>
          <w:rFonts w:eastAsia="Times New Roman" w:cstheme="minorHAnsi"/>
          <w:b/>
          <w:lang w:eastAsia="pl-PL"/>
        </w:rPr>
      </w:pPr>
      <w:r w:rsidRPr="0000346A">
        <w:rPr>
          <w:rFonts w:eastAsia="Times New Roman" w:cstheme="minorHAnsi"/>
          <w:b/>
          <w:bCs/>
          <w:lang w:eastAsia="pl-PL"/>
        </w:rPr>
        <w:t>Dostawa i montaż systemu kontroli dostępu w obiekcie CWBK (na istniejącej infrastrukturze drzwiowej)</w:t>
      </w:r>
    </w:p>
    <w:p w:rsidR="0000346A" w:rsidRPr="00BA4509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Przedmiot zamówienia</w:t>
      </w:r>
    </w:p>
    <w:p w:rsidR="0000346A" w:rsidRPr="0000346A" w:rsidRDefault="0000346A" w:rsidP="0000346A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Przedmiotem zamówienia jest </w:t>
      </w:r>
      <w:r w:rsidRPr="0000346A">
        <w:rPr>
          <w:rFonts w:eastAsia="Times New Roman" w:cstheme="minorHAnsi"/>
          <w:bCs/>
          <w:lang w:eastAsia="pl-PL"/>
        </w:rPr>
        <w:t>dostawa, montaż, uruchomienie i konfiguracja systemu kontroli dostępu (KD)</w:t>
      </w:r>
      <w:r w:rsidRPr="0000346A">
        <w:rPr>
          <w:rFonts w:eastAsia="Times New Roman" w:cstheme="minorHAnsi"/>
          <w:lang w:eastAsia="pl-PL"/>
        </w:rPr>
        <w:t xml:space="preserve"> w obiekcie CWBK, wykonywana </w:t>
      </w:r>
      <w:r w:rsidRPr="0000346A">
        <w:rPr>
          <w:rFonts w:eastAsia="Times New Roman" w:cstheme="minorHAnsi"/>
          <w:bCs/>
          <w:lang w:eastAsia="pl-PL"/>
        </w:rPr>
        <w:t>na istniejących drzwiach</w:t>
      </w:r>
      <w:r w:rsidRPr="0000346A">
        <w:rPr>
          <w:rFonts w:eastAsia="Times New Roman" w:cstheme="minorHAnsi"/>
          <w:lang w:eastAsia="pl-PL"/>
        </w:rPr>
        <w:t xml:space="preserve"> oraz z wykorzystaniem wskazanej infrastruktury instalacyjnej w obiekcie.</w:t>
      </w:r>
    </w:p>
    <w:p w:rsidR="0000346A" w:rsidRPr="0000346A" w:rsidRDefault="0000346A" w:rsidP="0000346A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Zakres zamówienia obejmuje dostarczenie i wykonanie kompletnego, działającego systemu KD, gotowego do eksploatacji po odbiorze.</w:t>
      </w:r>
    </w:p>
    <w:p w:rsidR="0000346A" w:rsidRPr="00BA4509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Założenia realizacyjne</w:t>
      </w:r>
    </w:p>
    <w:p w:rsidR="0000346A" w:rsidRPr="0000346A" w:rsidRDefault="0000346A" w:rsidP="000034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Zamówienie realizowane jest </w:t>
      </w:r>
      <w:r>
        <w:rPr>
          <w:rFonts w:eastAsia="Times New Roman" w:cstheme="minorHAnsi"/>
          <w:bCs/>
          <w:lang w:eastAsia="pl-PL"/>
        </w:rPr>
        <w:t>w działającym obiekcie Centrum Wsparcia Badań Klinicznych CWBK</w:t>
      </w:r>
      <w:r w:rsidRPr="0000346A">
        <w:rPr>
          <w:rFonts w:eastAsia="Times New Roman" w:cstheme="minorHAnsi"/>
          <w:lang w:eastAsia="pl-PL"/>
        </w:rPr>
        <w:t>.</w:t>
      </w:r>
    </w:p>
    <w:p w:rsidR="0000346A" w:rsidRPr="0000346A" w:rsidRDefault="0000346A" w:rsidP="000034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Montaż urządzeń końcowych systemu KD należy wykonać </w:t>
      </w:r>
      <w:r w:rsidRPr="0000346A">
        <w:rPr>
          <w:rFonts w:eastAsia="Times New Roman" w:cstheme="minorHAnsi"/>
          <w:bCs/>
          <w:lang w:eastAsia="pl-PL"/>
        </w:rPr>
        <w:t>na istniejących drzwiach</w:t>
      </w:r>
      <w:r w:rsidRPr="0000346A">
        <w:rPr>
          <w:rFonts w:eastAsia="Times New Roman" w:cstheme="minorHAnsi"/>
          <w:lang w:eastAsia="pl-PL"/>
        </w:rPr>
        <w:t xml:space="preserve"> w miejscach wskazanych przez Zamawiającego</w:t>
      </w:r>
      <w:r>
        <w:rPr>
          <w:rFonts w:eastAsia="Times New Roman" w:cstheme="minorHAnsi"/>
          <w:lang w:eastAsia="pl-PL"/>
        </w:rPr>
        <w:t xml:space="preserve"> (w ramach jednego piętra i jednego ciągu komunikacyjnego)</w:t>
      </w:r>
      <w:r w:rsidRPr="0000346A">
        <w:rPr>
          <w:rFonts w:eastAsia="Times New Roman" w:cstheme="minorHAnsi"/>
          <w:lang w:eastAsia="pl-PL"/>
        </w:rPr>
        <w:t>.</w:t>
      </w:r>
    </w:p>
    <w:p w:rsidR="0000346A" w:rsidRPr="0000346A" w:rsidRDefault="0000346A" w:rsidP="000034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bCs/>
          <w:lang w:eastAsia="pl-PL"/>
        </w:rPr>
        <w:t>Kontrolery KD (3 szt.)</w:t>
      </w:r>
      <w:r w:rsidRPr="0000346A">
        <w:rPr>
          <w:rFonts w:eastAsia="Times New Roman" w:cstheme="minorHAnsi"/>
          <w:lang w:eastAsia="pl-PL"/>
        </w:rPr>
        <w:t xml:space="preserve"> należy zamontować </w:t>
      </w:r>
      <w:r w:rsidRPr="0000346A">
        <w:rPr>
          <w:rFonts w:eastAsia="Times New Roman" w:cstheme="minorHAnsi"/>
          <w:bCs/>
          <w:lang w:eastAsia="pl-PL"/>
        </w:rPr>
        <w:t>nad sufitem podwieszanym</w:t>
      </w:r>
      <w:r>
        <w:rPr>
          <w:rFonts w:eastAsia="Times New Roman" w:cstheme="minorHAnsi"/>
          <w:bCs/>
          <w:lang w:eastAsia="pl-PL"/>
        </w:rPr>
        <w:t xml:space="preserve"> na ciągu komunikacyjnym</w:t>
      </w:r>
      <w:r w:rsidRPr="0000346A">
        <w:rPr>
          <w:rFonts w:eastAsia="Times New Roman" w:cstheme="minorHAnsi"/>
          <w:lang w:eastAsia="pl-PL"/>
        </w:rPr>
        <w:t>.</w:t>
      </w:r>
    </w:p>
    <w:p w:rsidR="0000346A" w:rsidRPr="0000346A" w:rsidRDefault="0000346A" w:rsidP="000034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Połączenia instalacyjne (skrętki) należy wykonać/zakończyć z wykorzystaniem punktu dystrybucyjnego:</w:t>
      </w:r>
    </w:p>
    <w:p w:rsidR="0000346A" w:rsidRPr="0000346A" w:rsidRDefault="0000346A" w:rsidP="000034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bCs/>
          <w:lang w:eastAsia="pl-PL"/>
        </w:rPr>
        <w:t xml:space="preserve">okablowanie prowadzone i zasilane </w:t>
      </w:r>
      <w:proofErr w:type="spellStart"/>
      <w:r>
        <w:rPr>
          <w:rFonts w:eastAsia="Times New Roman" w:cstheme="minorHAnsi"/>
          <w:bCs/>
          <w:lang w:eastAsia="pl-PL"/>
        </w:rPr>
        <w:t>PoE</w:t>
      </w:r>
      <w:proofErr w:type="spellEnd"/>
      <w:r>
        <w:rPr>
          <w:rFonts w:eastAsia="Times New Roman" w:cstheme="minorHAnsi"/>
          <w:bCs/>
          <w:lang w:eastAsia="pl-PL"/>
        </w:rPr>
        <w:t xml:space="preserve"> </w:t>
      </w:r>
      <w:r w:rsidRPr="0000346A">
        <w:rPr>
          <w:rFonts w:eastAsia="Times New Roman" w:cstheme="minorHAnsi"/>
          <w:bCs/>
          <w:lang w:eastAsia="pl-PL"/>
        </w:rPr>
        <w:t>z PPD na piętrze</w:t>
      </w:r>
      <w:r w:rsidRPr="0000346A">
        <w:rPr>
          <w:rFonts w:eastAsia="Times New Roman" w:cstheme="minorHAnsi"/>
          <w:lang w:eastAsia="pl-PL"/>
        </w:rPr>
        <w:t xml:space="preserve"> (zgodnie z warunkami lokalnymi obiektu i wskazaniami Zamawiającego).</w:t>
      </w:r>
    </w:p>
    <w:p w:rsidR="0000346A" w:rsidRPr="0000346A" w:rsidRDefault="0000346A" w:rsidP="000034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Wykonawca jest zobowiązany do wcześniejszej </w:t>
      </w:r>
      <w:r w:rsidRPr="0000346A">
        <w:rPr>
          <w:rFonts w:eastAsia="Times New Roman" w:cstheme="minorHAnsi"/>
          <w:bCs/>
          <w:lang w:eastAsia="pl-PL"/>
        </w:rPr>
        <w:t>wizji lokalnej / inwentaryzacji wykonawczej</w:t>
      </w:r>
      <w:r w:rsidRPr="0000346A">
        <w:rPr>
          <w:rFonts w:eastAsia="Times New Roman" w:cstheme="minorHAnsi"/>
          <w:lang w:eastAsia="pl-PL"/>
        </w:rPr>
        <w:t xml:space="preserve"> w zakresie niezbędnym do prawidłowej realizacji zamówienia.</w:t>
      </w:r>
    </w:p>
    <w:p w:rsidR="0000346A" w:rsidRPr="00BA4509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Zakres zamówienia</w:t>
      </w:r>
    </w:p>
    <w:p w:rsidR="0000346A" w:rsidRPr="0000346A" w:rsidRDefault="0000346A" w:rsidP="0000346A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 ramach realizacji zamówienia Wykonawca zobowiązany jest do wykonania co najmniej następujących czynności:</w:t>
      </w:r>
    </w:p>
    <w:p w:rsidR="0000346A" w:rsidRPr="00BA4509" w:rsidRDefault="0000346A" w:rsidP="00BA4509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Dostawa</w:t>
      </w:r>
    </w:p>
    <w:p w:rsidR="0000346A" w:rsidRPr="0000346A" w:rsidRDefault="0000346A" w:rsidP="0000346A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Dostawa wszystkich elementów niezbędnych do wykonania i uruchomienia systemu KD, w tym w szczególności: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 xml:space="preserve">sterownik sieciowy systemu </w:t>
      </w:r>
      <w:proofErr w:type="spellStart"/>
      <w:r w:rsidRPr="00713866">
        <w:rPr>
          <w:rFonts w:eastAsia="Times New Roman" w:cstheme="minorHAnsi"/>
          <w:lang w:eastAsia="pl-PL"/>
        </w:rPr>
        <w:t>kd</w:t>
      </w:r>
      <w:proofErr w:type="spellEnd"/>
      <w:r w:rsidRPr="00713866">
        <w:rPr>
          <w:rFonts w:eastAsia="Times New Roman" w:cstheme="minorHAnsi"/>
          <w:lang w:eastAsia="pl-PL"/>
        </w:rPr>
        <w:t xml:space="preserve">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 xml:space="preserve">zasilacz do sterownika (montaż na szynie </w:t>
      </w:r>
      <w:proofErr w:type="spellStart"/>
      <w:r w:rsidRPr="00713866">
        <w:rPr>
          <w:rFonts w:eastAsia="Times New Roman" w:cstheme="minorHAnsi"/>
          <w:lang w:eastAsia="pl-PL"/>
        </w:rPr>
        <w:t>din</w:t>
      </w:r>
      <w:proofErr w:type="spellEnd"/>
      <w:r w:rsidRPr="00713866">
        <w:rPr>
          <w:rFonts w:eastAsia="Times New Roman" w:cstheme="minorHAnsi"/>
          <w:lang w:eastAsia="pl-PL"/>
        </w:rPr>
        <w:t>)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lastRenderedPageBreak/>
        <w:t>akumulator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obudowa do sterownika/zasilania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bramka bezprzewodowa (</w:t>
      </w:r>
      <w:proofErr w:type="spellStart"/>
      <w:r w:rsidRPr="00713866">
        <w:rPr>
          <w:rFonts w:eastAsia="Times New Roman" w:cstheme="minorHAnsi"/>
          <w:lang w:eastAsia="pl-PL"/>
        </w:rPr>
        <w:t>gateway</w:t>
      </w:r>
      <w:proofErr w:type="spellEnd"/>
      <w:r w:rsidRPr="00713866">
        <w:rPr>
          <w:rFonts w:eastAsia="Times New Roman" w:cstheme="minorHAnsi"/>
          <w:lang w:eastAsia="pl-PL"/>
        </w:rPr>
        <w:t>) — 3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elektroniczny szyld/okucie drzwiowe online — 15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cylinder jednostronny (pozycja opcjonalna) — 0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klucz/narzędzie serwisowe do instalacji i wymiany baterii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 xml:space="preserve">licencje na czytniki/punkty </w:t>
      </w:r>
      <w:proofErr w:type="spellStart"/>
      <w:r w:rsidRPr="00713866">
        <w:rPr>
          <w:rFonts w:eastAsia="Times New Roman" w:cstheme="minorHAnsi"/>
          <w:lang w:eastAsia="pl-PL"/>
        </w:rPr>
        <w:t>kd</w:t>
      </w:r>
      <w:proofErr w:type="spellEnd"/>
      <w:r w:rsidRPr="00713866">
        <w:rPr>
          <w:rFonts w:eastAsia="Times New Roman" w:cstheme="minorHAnsi"/>
          <w:lang w:eastAsia="pl-PL"/>
        </w:rPr>
        <w:t xml:space="preserve"> online — 15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uprawnienie/licencja dodatkowa systemowa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oprogramowanie konfiguracyjne — 1 szt.</w:t>
      </w:r>
    </w:p>
    <w:p w:rsidR="00713866" w:rsidRP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 xml:space="preserve">programator </w:t>
      </w:r>
      <w:proofErr w:type="spellStart"/>
      <w:r w:rsidRPr="00713866">
        <w:rPr>
          <w:rFonts w:eastAsia="Times New Roman" w:cstheme="minorHAnsi"/>
          <w:lang w:eastAsia="pl-PL"/>
        </w:rPr>
        <w:t>usb</w:t>
      </w:r>
      <w:proofErr w:type="spellEnd"/>
      <w:r w:rsidRPr="00713866">
        <w:rPr>
          <w:rFonts w:eastAsia="Times New Roman" w:cstheme="minorHAnsi"/>
          <w:lang w:eastAsia="pl-PL"/>
        </w:rPr>
        <w:t xml:space="preserve"> — 1 szt.</w:t>
      </w:r>
    </w:p>
    <w:p w:rsidR="00713866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13866">
        <w:rPr>
          <w:rFonts w:eastAsia="Times New Roman" w:cstheme="minorHAnsi"/>
          <w:lang w:eastAsia="pl-PL"/>
        </w:rPr>
        <w:t>usługa wdrożeniowa — 1 szt.</w:t>
      </w:r>
    </w:p>
    <w:p w:rsidR="0000346A" w:rsidRPr="0000346A" w:rsidRDefault="00713866" w:rsidP="007138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e</w:t>
      </w:r>
      <w:r w:rsidRPr="0000346A">
        <w:rPr>
          <w:rFonts w:eastAsia="Times New Roman" w:cstheme="minorHAnsi"/>
          <w:lang w:eastAsia="pl-PL"/>
        </w:rPr>
        <w:t>lementów wykonawczych i pośredniczących (w zależności od potrzeb danego przejścia),</w:t>
      </w:r>
    </w:p>
    <w:p w:rsidR="0000346A" w:rsidRPr="0000346A" w:rsidRDefault="00713866" w:rsidP="000034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</w:t>
      </w:r>
      <w:r w:rsidRPr="0000346A">
        <w:rPr>
          <w:rFonts w:eastAsia="Times New Roman" w:cstheme="minorHAnsi"/>
          <w:lang w:eastAsia="pl-PL"/>
        </w:rPr>
        <w:t>kablowania, złącz, osprzętu montażowego i materiałów pomocniczych,</w:t>
      </w:r>
    </w:p>
    <w:p w:rsidR="0000346A" w:rsidRPr="0000346A" w:rsidRDefault="00713866" w:rsidP="000034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e</w:t>
      </w:r>
      <w:r w:rsidRPr="0000346A">
        <w:rPr>
          <w:rFonts w:eastAsia="Times New Roman" w:cstheme="minorHAnsi"/>
          <w:lang w:eastAsia="pl-PL"/>
        </w:rPr>
        <w:t>lementów zasilania i zabezpieczeń wymaganych do poprawnej pracy systemu.</w:t>
      </w:r>
    </w:p>
    <w:p w:rsidR="0000346A" w:rsidRPr="00BA4509" w:rsidRDefault="0000346A" w:rsidP="00BA4509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Montaż i instalacja</w:t>
      </w:r>
    </w:p>
    <w:p w:rsidR="00713866" w:rsidRDefault="0000346A" w:rsidP="000034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montaż urządzeń KD na istniejących drzwiach </w:t>
      </w:r>
    </w:p>
    <w:p w:rsidR="0000346A" w:rsidRPr="0000346A" w:rsidRDefault="00713866" w:rsidP="000034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montaż sterowników, zasilaczy, akumulatorów w pomieszczeniu technicznym,</w:t>
      </w:r>
    </w:p>
    <w:p w:rsidR="0000346A" w:rsidRPr="0000346A" w:rsidRDefault="0000346A" w:rsidP="000034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montaż </w:t>
      </w:r>
      <w:r w:rsidRPr="0000346A">
        <w:rPr>
          <w:rFonts w:eastAsia="Times New Roman" w:cstheme="minorHAnsi"/>
          <w:bCs/>
          <w:lang w:eastAsia="pl-PL"/>
        </w:rPr>
        <w:t xml:space="preserve">3 szt. </w:t>
      </w:r>
      <w:r w:rsidR="00713866">
        <w:rPr>
          <w:rFonts w:eastAsia="Times New Roman" w:cstheme="minorHAnsi"/>
          <w:bCs/>
          <w:lang w:eastAsia="pl-PL"/>
        </w:rPr>
        <w:t>bramek</w:t>
      </w:r>
      <w:r w:rsidRPr="0000346A">
        <w:rPr>
          <w:rFonts w:eastAsia="Times New Roman" w:cstheme="minorHAnsi"/>
          <w:bCs/>
          <w:lang w:eastAsia="pl-PL"/>
        </w:rPr>
        <w:t xml:space="preserve"> KD nad sufitem podwieszanym</w:t>
      </w:r>
      <w:r w:rsidRPr="0000346A">
        <w:rPr>
          <w:rFonts w:eastAsia="Times New Roman" w:cstheme="minorHAnsi"/>
          <w:lang w:eastAsia="pl-PL"/>
        </w:rPr>
        <w:t>,</w:t>
      </w:r>
    </w:p>
    <w:p w:rsidR="0000346A" w:rsidRPr="0000346A" w:rsidRDefault="0000346A" w:rsidP="000034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prowadzenie i zakończenie okablowania (skrętka</w:t>
      </w:r>
      <w:r w:rsidR="00713866">
        <w:rPr>
          <w:rFonts w:eastAsia="Times New Roman" w:cstheme="minorHAnsi"/>
          <w:lang w:eastAsia="pl-PL"/>
        </w:rPr>
        <w:t xml:space="preserve"> kat 6</w:t>
      </w:r>
      <w:r w:rsidRPr="0000346A">
        <w:rPr>
          <w:rFonts w:eastAsia="Times New Roman" w:cstheme="minorHAnsi"/>
          <w:lang w:eastAsia="pl-PL"/>
        </w:rPr>
        <w:t>) od punktów dostępowych do kontrolerów / PPD na piętrze,</w:t>
      </w:r>
    </w:p>
    <w:p w:rsidR="0000346A" w:rsidRPr="0000346A" w:rsidRDefault="0000346A" w:rsidP="000034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wykonanie niezbędnych przepustów, mocowań i uporządkowanie tras kablowych,</w:t>
      </w:r>
    </w:p>
    <w:p w:rsidR="0000346A" w:rsidRPr="0000346A" w:rsidRDefault="0000346A" w:rsidP="000034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oznaczenie przewodów i urządzeń w zakresie niezbędnym do późniejszej eksploatacji i serwisu.</w:t>
      </w:r>
    </w:p>
    <w:p w:rsidR="0000346A" w:rsidRPr="00BA4509" w:rsidRDefault="0000346A" w:rsidP="00BA4509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Uruchomienie i konfiguracja</w:t>
      </w:r>
    </w:p>
    <w:p w:rsidR="0000346A" w:rsidRPr="0000346A" w:rsidRDefault="0000346A" w:rsidP="000034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uruchomienie systemu KD,</w:t>
      </w:r>
    </w:p>
    <w:p w:rsidR="0000346A" w:rsidRPr="0000346A" w:rsidRDefault="0000346A" w:rsidP="000034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konfiguracja kontrolerów i punktów dostępowych,</w:t>
      </w:r>
    </w:p>
    <w:p w:rsidR="0000346A" w:rsidRPr="0000346A" w:rsidRDefault="0000346A" w:rsidP="000034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konfiguracja podstawowych uprawnień dostępu według wytycznych Zamawiającego,</w:t>
      </w:r>
    </w:p>
    <w:p w:rsidR="0000346A" w:rsidRPr="0000346A" w:rsidRDefault="0000346A" w:rsidP="000034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wykonanie prób działania i testów funkcjonalnych,</w:t>
      </w:r>
    </w:p>
    <w:p w:rsidR="0000346A" w:rsidRPr="0000346A" w:rsidRDefault="0000346A" w:rsidP="000034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usunięcie usterek i nieprawidłowości stwierdzonych podczas testów.</w:t>
      </w:r>
    </w:p>
    <w:p w:rsidR="0000346A" w:rsidRPr="00BA4509" w:rsidRDefault="0000346A" w:rsidP="00BA4509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lang w:eastAsia="pl-PL"/>
        </w:rPr>
      </w:pPr>
      <w:r w:rsidRPr="00BA4509">
        <w:rPr>
          <w:rFonts w:eastAsia="Times New Roman" w:cstheme="minorHAnsi"/>
          <w:b/>
          <w:bCs/>
          <w:lang w:eastAsia="pl-PL"/>
        </w:rPr>
        <w:t>Przekazanie do użytkowania</w:t>
      </w:r>
    </w:p>
    <w:p w:rsidR="0000346A" w:rsidRPr="0000346A" w:rsidRDefault="0000346A" w:rsidP="0000346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przekazanie podstawowej dokumentacji powykonawczej (co najmniej: zestawienie urządzeń, opis lokalizacji urządzeń, schemat połączeń wykonawczych / połączeń rzeczywistych, podstawowe ustawienia),</w:t>
      </w:r>
    </w:p>
    <w:p w:rsidR="0000346A" w:rsidRPr="0000346A" w:rsidRDefault="0000346A" w:rsidP="0000346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przekazanie instrukcji obsługi i kart katalogowych zastosowanych urządzeń,</w:t>
      </w:r>
    </w:p>
    <w:p w:rsidR="0000346A" w:rsidRPr="0000346A" w:rsidRDefault="0000346A" w:rsidP="0000346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przeszkolenie wskazanych pracowników Zamawiającego z obsługi systemu.</w:t>
      </w:r>
    </w:p>
    <w:p w:rsidR="0000346A" w:rsidRPr="00DF439A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DF439A">
        <w:rPr>
          <w:rFonts w:eastAsia="Times New Roman" w:cstheme="minorHAnsi"/>
          <w:b/>
          <w:bCs/>
          <w:lang w:eastAsia="pl-PL"/>
        </w:rPr>
        <w:t>Wymagania techniczne i funkcjonalne</w:t>
      </w:r>
    </w:p>
    <w:p w:rsidR="0000346A" w:rsidRPr="0000346A" w:rsidRDefault="0000346A" w:rsidP="000034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Wszystkie urządzenia muszą być:</w:t>
      </w:r>
    </w:p>
    <w:p w:rsidR="0000346A" w:rsidRPr="0000346A" w:rsidRDefault="0000346A" w:rsidP="0000346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fabrycznie nowe,</w:t>
      </w:r>
    </w:p>
    <w:p w:rsidR="0000346A" w:rsidRPr="0000346A" w:rsidRDefault="0000346A" w:rsidP="0000346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wolne od wad,</w:t>
      </w:r>
    </w:p>
    <w:p w:rsidR="0000346A" w:rsidRPr="0000346A" w:rsidRDefault="0000346A" w:rsidP="0000346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kompletne i gotowe do pracy po uruchomieniu.</w:t>
      </w:r>
    </w:p>
    <w:p w:rsidR="0000346A" w:rsidRPr="0000346A" w:rsidRDefault="0000346A" w:rsidP="000034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lastRenderedPageBreak/>
        <w:t xml:space="preserve">System KD musi stanowić </w:t>
      </w:r>
      <w:r w:rsidRPr="0000346A">
        <w:rPr>
          <w:rFonts w:eastAsia="Times New Roman" w:cstheme="minorHAnsi"/>
          <w:bCs/>
          <w:lang w:eastAsia="pl-PL"/>
        </w:rPr>
        <w:t>spójną i kompatybilną całość</w:t>
      </w:r>
      <w:r w:rsidRPr="0000346A">
        <w:rPr>
          <w:rFonts w:eastAsia="Times New Roman" w:cstheme="minorHAnsi"/>
          <w:lang w:eastAsia="pl-PL"/>
        </w:rPr>
        <w:t>, umożliwiającą prawidłową kontrolę dostępu dla przejść objętych zamówieniem.</w:t>
      </w:r>
    </w:p>
    <w:p w:rsidR="0000346A" w:rsidRPr="0000346A" w:rsidRDefault="0000346A" w:rsidP="000034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Rozwiązanie zastosowane na drzwiach istniejących musi być dobrane do warunków montażowych i eksploatacyjnych obiektu, z uwzględnieniem:</w:t>
      </w:r>
    </w:p>
    <w:p w:rsidR="0000346A" w:rsidRPr="0000346A" w:rsidRDefault="0000346A" w:rsidP="0000346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rodzaju i stanu istniejącej stolarki drzwiowej,</w:t>
      </w:r>
    </w:p>
    <w:p w:rsidR="0000346A" w:rsidRPr="0000346A" w:rsidRDefault="0000346A" w:rsidP="0000346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możliwości montażu osprzętu bez pogorszenia funkcjonalności drzwi,</w:t>
      </w:r>
    </w:p>
    <w:p w:rsidR="0000346A" w:rsidRPr="0000346A" w:rsidRDefault="0000346A" w:rsidP="0000346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bezpieczeństwa użytkowania oraz trwałości montażu.</w:t>
      </w:r>
    </w:p>
    <w:p w:rsidR="0000346A" w:rsidRPr="0000346A" w:rsidRDefault="0000346A" w:rsidP="000034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Jeżeli w ramach realizacji zastosowane zostaną elektroniczne klamki/szyldy online, urządzenia powinny spełniać wymagania funkcjonalne i eksploatacyjne nie gorsze niż rozwiązanie referencyjne wskazane w dokumentacji (obsługa RFID/NFC, praca online, parametry użytkowe i środowiskowe).</w:t>
      </w:r>
    </w:p>
    <w:p w:rsidR="0000346A" w:rsidRPr="00DF439A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DF439A">
        <w:rPr>
          <w:rFonts w:eastAsia="Times New Roman" w:cstheme="minorHAnsi"/>
          <w:b/>
          <w:bCs/>
          <w:lang w:eastAsia="pl-PL"/>
        </w:rPr>
        <w:t>Wymagania wykonawcze i organizacyjne</w:t>
      </w:r>
    </w:p>
    <w:p w:rsidR="0000346A" w:rsidRPr="0000346A" w:rsidRDefault="0000346A" w:rsidP="000034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Wykonawca ponosi odpowiedzialność za dobór sposobu montażu do warunków istniejących w obiekcie (brak projektu).</w:t>
      </w:r>
    </w:p>
    <w:p w:rsidR="0000346A" w:rsidRPr="0000346A" w:rsidRDefault="0000346A" w:rsidP="000034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Przed rozpoczęciem prac Wykonawca zobowiązany jest do:</w:t>
      </w:r>
    </w:p>
    <w:p w:rsidR="0000346A" w:rsidRPr="0000346A" w:rsidRDefault="0000346A" w:rsidP="0000346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dokonania oględzin miejsc montażu,</w:t>
      </w:r>
    </w:p>
    <w:p w:rsidR="0000346A" w:rsidRPr="0000346A" w:rsidRDefault="0000346A" w:rsidP="0000346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potwierdzenia tras prowadzenia przewodów i sposobu zasilania z PPD na piętrze,</w:t>
      </w:r>
    </w:p>
    <w:p w:rsidR="0000346A" w:rsidRPr="0000346A" w:rsidRDefault="0000346A" w:rsidP="0000346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uzgodnienia z Zamawiającym lokalizacji urządzeń i kolejności prac.</w:t>
      </w:r>
    </w:p>
    <w:p w:rsidR="0000346A" w:rsidRPr="0000346A" w:rsidRDefault="0000346A" w:rsidP="000034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Prace należy prowadzić w sposób ograniczający zakłócenia w funkcjonowaniu obiektu.</w:t>
      </w:r>
    </w:p>
    <w:p w:rsidR="0000346A" w:rsidRPr="0000346A" w:rsidRDefault="0000346A" w:rsidP="000034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Po zakończeniu prac Wykonawca zobowiązany jest do uporządkowania miejsca montażu i usunięcia odpadów.</w:t>
      </w:r>
    </w:p>
    <w:p w:rsidR="0000346A" w:rsidRPr="00DF439A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DF439A">
        <w:rPr>
          <w:rFonts w:eastAsia="Times New Roman" w:cstheme="minorHAnsi"/>
          <w:b/>
          <w:bCs/>
          <w:lang w:eastAsia="pl-PL"/>
        </w:rPr>
        <w:t>Odbiór</w:t>
      </w:r>
    </w:p>
    <w:p w:rsidR="0000346A" w:rsidRPr="0000346A" w:rsidRDefault="0000346A" w:rsidP="0000346A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Warunkiem odbioru przedmiotu zamówienia będzie łączne spełnienie poniższych warunków: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wykonanie dostawy i montażu wszystkich elementów objętych zamówieniem,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montaż 3 </w:t>
      </w:r>
      <w:r w:rsidR="00713866">
        <w:rPr>
          <w:rFonts w:eastAsia="Times New Roman" w:cstheme="minorHAnsi"/>
          <w:lang w:eastAsia="pl-PL"/>
        </w:rPr>
        <w:t>bramek</w:t>
      </w:r>
      <w:r w:rsidRPr="0000346A">
        <w:rPr>
          <w:rFonts w:eastAsia="Times New Roman" w:cstheme="minorHAnsi"/>
          <w:lang w:eastAsia="pl-PL"/>
        </w:rPr>
        <w:t xml:space="preserve"> nad sufitem podwieszanym zgodnie z ustaleniami,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uruchomienie i prawidłowe działanie systemu KD,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pozytywny wynik prób i testów funkcjonalnych,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przekazanie dokumentacji powykonawczej,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przeszkolenie użytkownika,</w:t>
      </w:r>
    </w:p>
    <w:p w:rsidR="0000346A" w:rsidRPr="0000346A" w:rsidRDefault="0000346A" w:rsidP="000034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podpisanie protokołu odbioru.</w:t>
      </w:r>
    </w:p>
    <w:p w:rsidR="0000346A" w:rsidRPr="00DF439A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DF439A">
        <w:rPr>
          <w:rFonts w:eastAsia="Times New Roman" w:cstheme="minorHAnsi"/>
          <w:b/>
          <w:bCs/>
          <w:lang w:eastAsia="pl-PL"/>
        </w:rPr>
        <w:t>Gwarancja i serwis</w:t>
      </w:r>
    </w:p>
    <w:p w:rsidR="0000346A" w:rsidRPr="0000346A" w:rsidRDefault="0000346A" w:rsidP="0000346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Wykonawca udzieli gwarancji na dostarczone urządzenia i wykonane prace montażowe na okres określony w ofercie.</w:t>
      </w:r>
    </w:p>
    <w:p w:rsidR="0000346A" w:rsidRPr="0000346A" w:rsidRDefault="0000346A" w:rsidP="0000346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>W okresie gwarancji Wykonawca zapewni</w:t>
      </w:r>
      <w:r w:rsidR="006942F8">
        <w:rPr>
          <w:rFonts w:eastAsia="Times New Roman" w:cstheme="minorHAnsi"/>
          <w:lang w:eastAsia="pl-PL"/>
        </w:rPr>
        <w:t xml:space="preserve"> nieodpłatnie</w:t>
      </w:r>
      <w:r w:rsidRPr="0000346A">
        <w:rPr>
          <w:rFonts w:eastAsia="Times New Roman" w:cstheme="minorHAnsi"/>
          <w:lang w:eastAsia="pl-PL"/>
        </w:rPr>
        <w:t xml:space="preserve"> usuwanie wad i usterek systemu.</w:t>
      </w:r>
    </w:p>
    <w:p w:rsidR="0000346A" w:rsidRPr="0000346A" w:rsidRDefault="0000346A" w:rsidP="0000346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0346A">
        <w:rPr>
          <w:rFonts w:eastAsia="Times New Roman" w:cstheme="minorHAnsi"/>
          <w:lang w:eastAsia="pl-PL"/>
        </w:rPr>
        <w:t xml:space="preserve">Szczegółowe warunki zgłaszania awarii i czas reakcji </w:t>
      </w:r>
      <w:r w:rsidR="00BA4509">
        <w:rPr>
          <w:rFonts w:eastAsia="Times New Roman" w:cstheme="minorHAnsi"/>
          <w:lang w:eastAsia="pl-PL"/>
        </w:rPr>
        <w:t>został określony w pkt. 11</w:t>
      </w:r>
      <w:r w:rsidRPr="0000346A">
        <w:rPr>
          <w:rFonts w:eastAsia="Times New Roman" w:cstheme="minorHAnsi"/>
          <w:lang w:eastAsia="pl-PL"/>
        </w:rPr>
        <w:t>.</w:t>
      </w:r>
    </w:p>
    <w:p w:rsidR="0000346A" w:rsidRPr="0000346A" w:rsidRDefault="0000346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00346A">
        <w:rPr>
          <w:rFonts w:eastAsia="Times New Roman" w:cstheme="minorHAnsi"/>
          <w:b/>
          <w:bCs/>
          <w:lang w:eastAsia="pl-PL"/>
        </w:rPr>
        <w:t>Rozwiązania równoważne</w:t>
      </w:r>
    </w:p>
    <w:p w:rsidR="00713866" w:rsidRPr="00713866" w:rsidRDefault="00713866" w:rsidP="00713866">
      <w:pPr>
        <w:rPr>
          <w:rFonts w:cstheme="minorHAnsi"/>
        </w:rPr>
      </w:pPr>
      <w:r w:rsidRPr="00713866">
        <w:rPr>
          <w:rFonts w:cstheme="minorHAnsi"/>
        </w:rPr>
        <w:t xml:space="preserve">Przedmiot zamówienia stanowi rozszerzenie istniejącego systemu kontroli dostępu (KD) eksploatowanego przez Zamawiającego w innych obiektach, realizowanego w środowisku </w:t>
      </w:r>
      <w:r w:rsidRPr="00713866">
        <w:rPr>
          <w:rFonts w:cstheme="minorHAnsi"/>
        </w:rPr>
        <w:lastRenderedPageBreak/>
        <w:t>funkcjonującym na istniejących bazach danych użytkowników, uprawnień i konfiguracji. Zamawiający posiada wdrożone rozwiązania systemowe dostarczane i utrzymywane w dotychczasowym standardzie eksploatacyjnym, dlatego wymagane jest zachowanie pełnej spójności technicznej, funkcjonalnej i organizacyjnej z już użytkowanymi obiektami i rozwiązaniami. Oznacza to w szczególności, że dostarczane urządzenia, licencje i oprogramowanie muszą być przeznaczone do pracy jako element rozwijanego (istniejącego) systemu, umożliwiać włączenie do aktualnie eksploatowanego środowiska KD oraz współpracować z istniejącą strukturą baz danych i zasadami zarządzania dostępem, bez tworzenia odrębnego, niezależnego systemu. Zamawiający przyjął kalkulację i zakres rzeczowy jako rozwiązanie kompatybilne z istniejącym środowiskiem, w tym z rozwiązaniami zastosowanymi dotychczas w obiektach Zamawiającego.</w:t>
      </w:r>
    </w:p>
    <w:p w:rsidR="00E70B1F" w:rsidRDefault="00713866" w:rsidP="00713866">
      <w:pPr>
        <w:rPr>
          <w:rFonts w:cstheme="minorHAnsi"/>
        </w:rPr>
      </w:pPr>
      <w:r w:rsidRPr="00713866">
        <w:rPr>
          <w:rFonts w:cstheme="minorHAnsi"/>
        </w:rPr>
        <w:t xml:space="preserve">W przypadku wskazania w dokumentacji zamówienia nazw własnych, symboli, producentów, typów urządzeń, licencji lub oprogramowania, należy je traktować jako wzorzec funkcjonalno-techniczny i </w:t>
      </w:r>
      <w:proofErr w:type="spellStart"/>
      <w:r w:rsidRPr="00713866">
        <w:rPr>
          <w:rFonts w:cstheme="minorHAnsi"/>
        </w:rPr>
        <w:t>kompatybilnościowy</w:t>
      </w:r>
      <w:proofErr w:type="spellEnd"/>
      <w:r w:rsidRPr="00713866">
        <w:rPr>
          <w:rFonts w:cstheme="minorHAnsi"/>
        </w:rPr>
        <w:t>, służący określeniu minimalnych wymagań Zamawiającego. Zamawiający dopuszcza rozwiązania równoważne, pod warunkiem że Wykonawca wykaże, iż oferowane rozwiązanie zapewnia parametry techniczne, funkcjonalne i eksploatacyjne nie gorsze od wskazanych oraz gwarantuje pełną kompatybilność z istniejącym systemem KD Zamawiającego, w szczególności w zakresie integracji z aktualnie użytkowaną platformą, pracy na istniejących bazach danych, obsługi w dotychczasowym środowisku administracyjnym oraz gotowości do uruchomienia i eksploatacji w istniejącej infrastrukturze. Ciężar wykazania równoważności i kompatybilności spoczywa na Wykonawcy.</w:t>
      </w:r>
    </w:p>
    <w:p w:rsidR="00C74CE9" w:rsidRPr="00C74CE9" w:rsidRDefault="00C74CE9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C74CE9">
        <w:rPr>
          <w:rFonts w:eastAsia="Times New Roman" w:cstheme="minorHAnsi"/>
          <w:b/>
          <w:bCs/>
          <w:lang w:eastAsia="pl-PL"/>
        </w:rPr>
        <w:t>Zestawienie sprzętu i oprogramowania, na którym Zamawiający opracował koncepcję rozwiązania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Zamawiający informuje, że koncepcja rozbudowy systemu kontroli dostępu, stanowiąca podstawę opisu przedmiotu zamówienia, została opracowana w oparciu o rozwiązanie funkcjonujące w istniejącym środowisku systemowym Zamawiającego oraz z uwzględnieniem kompatybilnych elementów sprzętowych, licencyjnych i programowych, odpowiadających standardowi eksploatowanemu w innych obiektach Zamawiającego.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W ramach przyjętej koncepcji Zamawiający posługiwał się następującym zestawieniem referencyjnym (sprzęt / licencje / oprogramowanie / usługi), wynikającym z analizowanego rozwiązania kompatybilnego: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1. Urządzenia i osprzęt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sterownik sieciowy PLUTO (kontroler systemu KD)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zasilacz Pluto/Orion (1-2) DIN 12V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akumulator 7Ah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obudowa XL do Pluto/Orion/Solar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 xml:space="preserve">– bramka bezprzewodowa </w:t>
      </w:r>
      <w:proofErr w:type="spellStart"/>
      <w:r w:rsidRPr="00C74CE9">
        <w:rPr>
          <w:rFonts w:cstheme="minorHAnsi"/>
        </w:rPr>
        <w:t>GatewayNode</w:t>
      </w:r>
      <w:proofErr w:type="spellEnd"/>
      <w:r w:rsidRPr="00C74CE9">
        <w:rPr>
          <w:rFonts w:cstheme="minorHAnsi"/>
        </w:rPr>
        <w:t xml:space="preserve"> – 3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szyld AX, profil A0, rozmiar S, WO Online – 15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lastRenderedPageBreak/>
        <w:t>– cylindry jednostronne – 0 szt. (pozycja opcjonalna / nieuwzględniona ilościowo w zakresie podstawowym)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klucz/narzędzie instalacyjne i serwisowe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2. Licencje i oprogramowanie</w:t>
      </w:r>
    </w:p>
    <w:p w:rsidR="00C74CE9" w:rsidRPr="00C74CE9" w:rsidRDefault="00C74CE9" w:rsidP="00C74CE9">
      <w:pPr>
        <w:rPr>
          <w:rFonts w:cstheme="minorHAnsi"/>
        </w:rPr>
      </w:pPr>
      <w:r>
        <w:rPr>
          <w:rFonts w:cstheme="minorHAnsi"/>
        </w:rPr>
        <w:t>L</w:t>
      </w:r>
      <w:r w:rsidRPr="00C74CE9">
        <w:rPr>
          <w:rFonts w:cstheme="minorHAnsi"/>
        </w:rPr>
        <w:t>icencja IPROTECT: 1x czytnik KD ONLINE – 15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UPRAWNIENIA_SMS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oprogramowanie konfiguracyjne SV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– programator USB – 1 szt.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3. Usługi wdrożeniowe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WDROZENIE_SMS – 1 szt.</w:t>
      </w:r>
    </w:p>
    <w:p w:rsid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Zamawiający wskazuje, że powyższe zestawienie ma charakter referencyjny i służy opisaniu standardu rozwiązania, na podstawie którego opracowano koncepcję rozbudowy systemu. Wskazanie konkretnych nazw handlowych, symboli lub oznaczeń nie oznacza obowiązku zaoferowania rozwiązań tożsamych, z zastrzeżeniem wymogu zachowania pełnej kompatybilności z istniejącym systemem KD Zamawiającego, zgodnie z postanowieniami dotyczącymi równoważności.</w:t>
      </w:r>
    </w:p>
    <w:p w:rsidR="00C74CE9" w:rsidRPr="00C74CE9" w:rsidRDefault="00C74CE9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C74CE9">
        <w:rPr>
          <w:rFonts w:eastAsia="Times New Roman" w:cstheme="minorHAnsi"/>
          <w:b/>
          <w:bCs/>
          <w:lang w:eastAsia="pl-PL"/>
        </w:rPr>
        <w:t>Sposób prowadzenia prac w czynnym obiekcie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Prace objęte zamówieniem będą prowadzone w czynnym obiekcie CWBK PUM, tj. w jednostce prowadzącej działalność związaną z organizacją i koordynacją badań klinicznych, funkcjonującej w strukturze Pomorskiego Uniwersytetu Medycznego w Szczecinie oraz współpracującej z podmiotami szpitalnymi (konsorcjum PUM/USK). Biuro CWBK PUM mieści się w kompleksie szpitalnym USK nr 1 PUM w Szczecinie (Budynek A, 4 piętro), w określonych godzinach pracy.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W związku z powyższym Wykonawca zobowiązany jest do prowadzenia robót w sposób niepowodujący zakłóceń w bieżącym funkcjonowaniu obiektu, w szczególności pracy personelu, obsługi dokumentacji oraz realizowanych procesów organizacyjnych związanych z działalnością CWBK. Terminy, zakres i kolejność prac w poszczególnych pomieszczeniach/strefach, a także każdorazowe wejścia do pomieszczeń objętych pracami, muszą być uprzednio uzgadniane z użytkownikiem obiektu (CWBK / przedstawicielem Zamawiającego).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Wykonawca jest zobowiązany do: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uzgadniania harmonogramu wejść i prac z odpowiednim wyprzedzeniem,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dostosowania organizacji robót do godzin i warunków pracy użytkownika,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prowadzenia prac etapowo, w sposób ograniczający wyłączenia pomieszczeń do niezbędnego minimum,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zachowania porządku, zabezpieczenia miejsca prac i niezwłocznego przywracania pomieszczeń do stanu umożliwiającego normalne użytkowanie po zakończeniu danego etapu.</w:t>
      </w:r>
    </w:p>
    <w:p w:rsid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lastRenderedPageBreak/>
        <w:t>Wszelkie prace powodujące zwiększony hałas, zapylenie, czasowe ograniczenia dostępu lub przerwy w funkcjonowaniu infrastruktury technicznej wymagają odrębnego, wcześniejszego uzgodnienia z Zamawiającym i użytkownikiem obiektu.</w:t>
      </w:r>
    </w:p>
    <w:p w:rsidR="00C74CE9" w:rsidRPr="00C74CE9" w:rsidRDefault="00C74CE9" w:rsidP="00C74CE9">
      <w:pPr>
        <w:rPr>
          <w:rFonts w:cstheme="minorHAnsi"/>
          <w:b/>
        </w:rPr>
      </w:pPr>
      <w:r w:rsidRPr="00C74CE9">
        <w:rPr>
          <w:rFonts w:cstheme="minorHAnsi"/>
          <w:b/>
        </w:rPr>
        <w:t>Zasady dostępu do pomieszczeń i prowadzenia prac w czynnym obiekcie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Z uwagi na prowadzenie prac w czynnym obiekcie, użytkownik obiektu (CWBK / przedstawiciel Zamawiającego) zastrzega sobie prawo do odmowy udostępnienia pomieszczenia / strefy do prac, bez podawania przyczyny.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Odmowa wejścia może dotyczyć łącznie maksymalnie: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do 10 dni w całym okresie realizacji zamówienia,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przy czym przyjmuje się limit do 8 godzin dziennie.</w:t>
      </w:r>
    </w:p>
    <w:p w:rsidR="00C74CE9" w:rsidRP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Czas odmowy dostępu będzie rozliczany godzinowo, tj. do wskazanego limitu wlicza się rzeczywistą liczbę godzin, w których Wykonawca nie mógł prowadzić prac z powodu braku zgody na wejście do pomieszczeń/stref objętych realizacją.</w:t>
      </w:r>
    </w:p>
    <w:p w:rsidR="00C74CE9" w:rsidRDefault="00C74CE9" w:rsidP="00C74CE9">
      <w:pPr>
        <w:rPr>
          <w:rFonts w:cstheme="minorHAnsi"/>
        </w:rPr>
      </w:pPr>
      <w:r w:rsidRPr="00C74CE9">
        <w:rPr>
          <w:rFonts w:cstheme="minorHAnsi"/>
        </w:rPr>
        <w:t>Wykonawca zobowiązany jest do każdorazowego uzgadniania wejść z użytkownikiem obiektu, a w przypadku odmowy — do niezwłocznego dostosowania organizacji robót i kontynuowania prac w innych dostępnych lokalizacjach lub zakresach, o ile jest to możliwe. Odmowa wejścia w granicach wskazanych powyżej nie stanowi nienależytego współdziałania Zamawiającego i nie może stanowić podstawy do roszczeń Wykonawcy, z zastrzeżeniem skutków przewidzianych w umowie dla rozliczenia terminu realizacji, jeżeli takie postanowienia zostaną w niej przewidziane.</w:t>
      </w:r>
    </w:p>
    <w:p w:rsidR="00DF439A" w:rsidRPr="00DF439A" w:rsidRDefault="00DF439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DF439A">
        <w:rPr>
          <w:rFonts w:eastAsia="Times New Roman" w:cstheme="minorHAnsi"/>
          <w:b/>
          <w:bCs/>
          <w:lang w:eastAsia="pl-PL"/>
        </w:rPr>
        <w:t>Serwis w okresie gwarancji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Wykonawca zobowiązany jest do świadczenia serwisu gwarancyjnego dla przedmiotu zamówienia w trybie 24 godziny na dobę / 7 dni w tygodniu (24/7).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  <w:b/>
        </w:rPr>
        <w:t>Czas reakcji serwisu</w:t>
      </w:r>
      <w:r w:rsidRPr="00DF439A">
        <w:rPr>
          <w:rFonts w:cstheme="minorHAnsi"/>
        </w:rPr>
        <w:t xml:space="preserve"> (czas przyjazdu na miejsce i faktycznego rozpoczęcia usuwania awarii) wynosi: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do 1 godziny od zgłoszenia – w przypadku, gdy użytkownik obiektu / Zamawiający zakwalifikuje awarię jako zagrożenie dla procesu / ciągłości działania,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do 2 godzin od zgłoszenia – w przypadku zwykłej awarii.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Przez czas reakcji serwisu rozumie się czas liczony od chwili skutecznego zgłoszenia awarii telefonicznie lub e-mailowo do chwili: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przyjazdu serwisu na miejsce realizacji zamówienia, oraz</w:t>
      </w:r>
      <w:r>
        <w:rPr>
          <w:rFonts w:cstheme="minorHAnsi"/>
        </w:rPr>
        <w:t xml:space="preserve"> </w:t>
      </w:r>
      <w:r w:rsidRPr="00DF439A">
        <w:rPr>
          <w:rFonts w:cstheme="minorHAnsi"/>
        </w:rPr>
        <w:t>rzeczywistego rozpoczęcia czynności usuwania awarii.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W przypadku konieczności wymiany uszkodzonego urządzenia/elementu systemu, Wykonawca zobowiązany jest do dokonania wymiany w terminie: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do 24 godzin od zgłoszenia awarii,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lastRenderedPageBreak/>
        <w:t>a w przypadku braku możliwości dostarczenia urządzenia przez producenta/dostawcę – do 72 godzin, pod warunkiem przedstawienia Zamawiającemu potwierdzenia od dostawcy/producenta o braku możliwości wcześniejszej dostawy.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Zgłoszenia awarii mogą być dokonywane przez Zamawiającego / użytkownika obiektu telefonicznie oraz pocztą elektroniczną, na dane kontaktowe serwisu wskazane przez Wykonawcę.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W przypadku niedotrzymania czasu reakcji serwisu, o którym mowa w ust. 2, Zamawiający naliczy Wykonawcy karę umowną w wysokości:</w:t>
      </w:r>
    </w:p>
    <w:p w:rsidR="00DF439A" w:rsidRP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500,00 zł za każdą rozpoczętą godzinę opóźnienia, przy czym kara ta naliczana jest maksymalnie za pierwsze 2 godziny opóźnienia,</w:t>
      </w:r>
      <w:r>
        <w:rPr>
          <w:rFonts w:cstheme="minorHAnsi"/>
        </w:rPr>
        <w:t xml:space="preserve"> </w:t>
      </w:r>
      <w:r w:rsidRPr="00DF439A">
        <w:rPr>
          <w:rFonts w:cstheme="minorHAnsi"/>
        </w:rPr>
        <w:t>oraz dodatkowo 2 000,00 zł za każdą rozpoczętą dobę opóźnienia – w przypadku dalszego braku przyjazdu serwisu / nierozpoczęcia usuwania awarii.</w:t>
      </w:r>
    </w:p>
    <w:p w:rsidR="00DF439A" w:rsidRPr="00DF439A" w:rsidRDefault="00DF439A" w:rsidP="00DF439A">
      <w:pPr>
        <w:rPr>
          <w:rFonts w:cstheme="minorHAnsi"/>
        </w:rPr>
      </w:pPr>
    </w:p>
    <w:p w:rsidR="00DF439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Kary umowne, o których mowa powyżej, nie wyłączają prawa Zamawiającego do dochodzenia odszkodowania uzupełniającego na zasadach ogólnych, jeżeli wysokość poniesionej szkody przewyższa wartość naliczonych kar (jeżeli Zamawiający przewidzi taki zapis w umowie).</w:t>
      </w:r>
    </w:p>
    <w:p w:rsidR="00DF439A" w:rsidRDefault="00DF439A" w:rsidP="00DF439A">
      <w:pPr>
        <w:rPr>
          <w:rFonts w:cstheme="minorHAnsi"/>
        </w:rPr>
      </w:pPr>
      <w:r>
        <w:rPr>
          <w:rFonts w:cstheme="minorHAnsi"/>
        </w:rPr>
        <w:t>Adresy mailowe i numery telefonów do zgłaszania awarii Wykonawca przekaże za pismem podczas czynności odbiorowych.</w:t>
      </w:r>
    </w:p>
    <w:p w:rsidR="00DF439A" w:rsidRPr="00DF439A" w:rsidRDefault="00DF439A" w:rsidP="00BA4509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DF439A">
        <w:rPr>
          <w:rFonts w:eastAsia="Times New Roman" w:cstheme="minorHAnsi"/>
          <w:b/>
          <w:bCs/>
          <w:lang w:eastAsia="pl-PL"/>
        </w:rPr>
        <w:t>Odbiór przedmiotu zamówienia</w:t>
      </w:r>
    </w:p>
    <w:p w:rsidR="00DF439A" w:rsidRPr="0000346A" w:rsidRDefault="00DF439A" w:rsidP="00DF439A">
      <w:pPr>
        <w:rPr>
          <w:rFonts w:cstheme="minorHAnsi"/>
        </w:rPr>
      </w:pPr>
      <w:r w:rsidRPr="00DF439A">
        <w:rPr>
          <w:rFonts w:cstheme="minorHAnsi"/>
        </w:rPr>
        <w:t>Odbiór przedmiotu zamówienia nastąpi po wykonaniu dostawy i montażu wszystkich elementów objętych zamówieniem, uruchomieniu i konfiguracji systemu, przeprowadzeniu prób i testów funkcjonalnych z wynikiem pozytywnym oraz przekazaniu Zamawiającemu dokumentacji powykonawczej i instrukcji użytkowania. Warunkiem odbioru jest także przeszkolenie wskazanych pracowników Zamawiającego oraz potwierdzenie, że system działa prawidłowo w istniejącym środowisku systemu KD Zamawiającego. Odbiór zostanie potwierdzony protokołem odbioru podpisanym przez Strony.</w:t>
      </w:r>
    </w:p>
    <w:sectPr w:rsidR="00DF439A" w:rsidRPr="0000346A" w:rsidSect="008A4106">
      <w:headerReference w:type="default" r:id="rId7"/>
      <w:footerReference w:type="default" r:id="rId8"/>
      <w:pgSz w:w="11906" w:h="16838"/>
      <w:pgMar w:top="1417" w:right="1417" w:bottom="1417" w:left="1417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106" w:rsidRDefault="008A4106" w:rsidP="008A4106">
      <w:pPr>
        <w:spacing w:after="0" w:line="240" w:lineRule="auto"/>
      </w:pPr>
      <w:r>
        <w:separator/>
      </w:r>
    </w:p>
  </w:endnote>
  <w:endnote w:type="continuationSeparator" w:id="0">
    <w:p w:rsidR="008A4106" w:rsidRDefault="008A4106" w:rsidP="008A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adea">
    <w:altName w:val="Calibri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106" w:rsidRPr="008A4106" w:rsidRDefault="008A4106" w:rsidP="008A4106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Calibri" w:eastAsia="Calibri" w:hAnsi="Calibri" w:cs="Caladea"/>
      </w:rPr>
    </w:pPr>
    <w:bookmarkStart w:id="1" w:name="_Hlk196744035"/>
    <w:r w:rsidRPr="008A4106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594995</wp:posOffset>
          </wp:positionH>
          <wp:positionV relativeFrom="paragraph">
            <wp:posOffset>6985</wp:posOffset>
          </wp:positionV>
          <wp:extent cx="4600575" cy="588010"/>
          <wp:effectExtent l="0" t="0" r="9525" b="2540"/>
          <wp:wrapNone/>
          <wp:docPr id="4" name="Obraz 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057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106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-76200</wp:posOffset>
              </wp:positionH>
              <wp:positionV relativeFrom="paragraph">
                <wp:posOffset>6985</wp:posOffset>
              </wp:positionV>
              <wp:extent cx="6038850" cy="19050"/>
              <wp:effectExtent l="0" t="0" r="19050" b="19050"/>
              <wp:wrapNone/>
              <wp:docPr id="96" name="Łącznik prosty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38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58D068" id="Łącznik prosty 9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pt,.55pt" to="469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" strokecolor="#404040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Pr="008A4106">
      <w:rPr>
        <w:rFonts w:ascii="Calibri" w:eastAsia="Caladea" w:hAnsi="Calibri" w:cs="Caladea"/>
        <w:i/>
        <w:iCs/>
        <w:sz w:val="20"/>
      </w:rPr>
      <w:t xml:space="preserve">     </w:t>
    </w:r>
  </w:p>
  <w:p w:rsidR="008A4106" w:rsidRPr="008A4106" w:rsidRDefault="008A4106" w:rsidP="008A4106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Calibri" w:eastAsia="Calibri" w:hAnsi="Calibri" w:cs="Caladea"/>
      </w:rPr>
    </w:pPr>
  </w:p>
  <w:p w:rsidR="008A4106" w:rsidRPr="008A4106" w:rsidRDefault="008A4106" w:rsidP="008A4106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Calibri" w:eastAsia="Calibri" w:hAnsi="Calibri" w:cs="Caladea"/>
      </w:rPr>
    </w:pPr>
  </w:p>
  <w:p w:rsidR="008A4106" w:rsidRPr="008A4106" w:rsidRDefault="008A4106" w:rsidP="008A4106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contextualSpacing/>
      <w:jc w:val="center"/>
      <w:rPr>
        <w:rFonts w:ascii="Calibri" w:eastAsia="Calibri" w:hAnsi="Calibri" w:cs="Caladea"/>
      </w:rPr>
    </w:pPr>
    <w:r w:rsidRPr="008A4106">
      <w:rPr>
        <w:rFonts w:ascii="Calibri" w:eastAsia="Calibri" w:hAnsi="Calibri" w:cs="Caladea"/>
        <w:sz w:val="16"/>
        <w:szCs w:val="16"/>
      </w:rPr>
      <w:t>Projekt</w:t>
    </w:r>
    <w:r w:rsidRPr="008A4106">
      <w:rPr>
        <w:rFonts w:ascii="Calibri" w:eastAsia="Calibri" w:hAnsi="Calibri" w:cs="Caladea"/>
        <w:b/>
        <w:bCs/>
        <w:sz w:val="16"/>
        <w:szCs w:val="16"/>
      </w:rPr>
      <w:t xml:space="preserve"> „Rozwój i zwiększenie potencjału naukowo-badawczego Centrum Wsparcia Badań Klinicznych Pomorskiego Uniwersytetu Medycznego w Szczecinie” nr KPOD.07.07-IW.07-0330/24 </w:t>
    </w:r>
    <w:r w:rsidRPr="008A4106">
      <w:rPr>
        <w:rFonts w:ascii="Calibri" w:eastAsia="Calibri" w:hAnsi="Calibri" w:cs="Caladea"/>
        <w:sz w:val="16"/>
        <w:szCs w:val="16"/>
      </w:rPr>
      <w:t>jest finansowany ze środków  Agencja Badań Medycznych w ramach Konkursu na doskonalenie i zwiększenie potencjału naukowo-badawczego istniejących Centrów Wsparcia Badań Klinicznych (2024/ABM/7/KPO) finansowanego ze środków Krajowego Planu Odbudowy i Zwiększania Odporności, Komponentu D Efektywność, dostępność i jakość systemu ochrony zdrowia, Inwestycji D3.1.1 Kompleksowy rozwój badań w zakresie nauk medycznych i nauk o zdrowiu</w:t>
    </w:r>
    <w:r w:rsidRPr="008A4106">
      <w:rPr>
        <w:rFonts w:ascii="Calibri" w:eastAsia="Calibri" w:hAnsi="Calibri" w:cs="Caladea"/>
      </w:rPr>
      <w:t>.</w:t>
    </w:r>
    <w:bookmarkEnd w:id="1"/>
  </w:p>
  <w:p w:rsidR="008A4106" w:rsidRDefault="008A4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106" w:rsidRDefault="008A4106" w:rsidP="008A4106">
      <w:pPr>
        <w:spacing w:after="0" w:line="240" w:lineRule="auto"/>
      </w:pPr>
      <w:r>
        <w:separator/>
      </w:r>
    </w:p>
  </w:footnote>
  <w:footnote w:type="continuationSeparator" w:id="0">
    <w:p w:rsidR="008A4106" w:rsidRDefault="008A4106" w:rsidP="008A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106" w:rsidRPr="008A4106" w:rsidRDefault="008A4106" w:rsidP="008A4106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Calibri" w:eastAsia="Calibri" w:hAnsi="Calibri" w:cs="Caladea"/>
      </w:rPr>
    </w:pPr>
    <w:r w:rsidRPr="008A4106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-33655</wp:posOffset>
          </wp:positionV>
          <wp:extent cx="1341755" cy="641985"/>
          <wp:effectExtent l="0" t="0" r="0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-20" b="12537"/>
                  <a:stretch>
                    <a:fillRect/>
                  </a:stretch>
                </pic:blipFill>
                <pic:spPr bwMode="auto">
                  <a:xfrm>
                    <a:off x="0" y="0"/>
                    <a:ext cx="134175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106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1071245</wp:posOffset>
          </wp:positionH>
          <wp:positionV relativeFrom="paragraph">
            <wp:posOffset>47625</wp:posOffset>
          </wp:positionV>
          <wp:extent cx="447675" cy="564515"/>
          <wp:effectExtent l="0" t="0" r="9525" b="6985"/>
          <wp:wrapTight wrapText="bothSides">
            <wp:wrapPolygon edited="0">
              <wp:start x="0" y="0"/>
              <wp:lineTo x="0" y="21138"/>
              <wp:lineTo x="21140" y="21138"/>
              <wp:lineTo x="2114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4106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739139</wp:posOffset>
              </wp:positionV>
              <wp:extent cx="5838825" cy="0"/>
              <wp:effectExtent l="0" t="0" r="0" b="0"/>
              <wp:wrapNone/>
              <wp:docPr id="37" name="Łącznik prosty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306AD3" id="Łącznik prosty 37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1pt,58.2pt" to="455.6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" strokecolor="#404040" strokeweight=".5pt">
              <v:stroke joinstyle="miter"/>
              <o:lock v:ext="edit" shapetype="f"/>
            </v:line>
          </w:pict>
        </mc:Fallback>
      </mc:AlternateContent>
    </w:r>
    <w:r w:rsidRPr="008A4106">
      <w:rPr>
        <w:rFonts w:ascii="Calibri" w:eastAsia="Calibri" w:hAnsi="Calibri" w:cs="Caladea"/>
        <w:noProof/>
      </w:rPr>
      <w:drawing>
        <wp:inline distT="0" distB="0" distL="0" distR="0">
          <wp:extent cx="638175" cy="5905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A4106" w:rsidRDefault="008A41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42497"/>
    <w:multiLevelType w:val="multilevel"/>
    <w:tmpl w:val="8C1C6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DD620E8"/>
    <w:multiLevelType w:val="hybridMultilevel"/>
    <w:tmpl w:val="249AA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B28B8"/>
    <w:multiLevelType w:val="multilevel"/>
    <w:tmpl w:val="BCAC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517221"/>
    <w:multiLevelType w:val="multilevel"/>
    <w:tmpl w:val="55F2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6E157C"/>
    <w:multiLevelType w:val="multilevel"/>
    <w:tmpl w:val="FAE8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CA7AEA"/>
    <w:multiLevelType w:val="multilevel"/>
    <w:tmpl w:val="7BFC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714CF3"/>
    <w:multiLevelType w:val="multilevel"/>
    <w:tmpl w:val="9FDC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3F7CFF"/>
    <w:multiLevelType w:val="multilevel"/>
    <w:tmpl w:val="50F89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274D2F"/>
    <w:multiLevelType w:val="multilevel"/>
    <w:tmpl w:val="B220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74997"/>
    <w:multiLevelType w:val="multilevel"/>
    <w:tmpl w:val="C3589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9A7737"/>
    <w:multiLevelType w:val="multilevel"/>
    <w:tmpl w:val="9E908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C2B5A7C"/>
    <w:multiLevelType w:val="multilevel"/>
    <w:tmpl w:val="3582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EB50C3"/>
    <w:multiLevelType w:val="multilevel"/>
    <w:tmpl w:val="1A0E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7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46A"/>
    <w:rsid w:val="0000346A"/>
    <w:rsid w:val="00437444"/>
    <w:rsid w:val="006942F8"/>
    <w:rsid w:val="00713866"/>
    <w:rsid w:val="008A4106"/>
    <w:rsid w:val="00BA4509"/>
    <w:rsid w:val="00C74CE9"/>
    <w:rsid w:val="00DF439A"/>
    <w:rsid w:val="00E7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569B51"/>
  <w15:chartTrackingRefBased/>
  <w15:docId w15:val="{0640AB44-EE4F-40F2-95A2-92C6A144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034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034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0034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0346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346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034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0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0346A"/>
    <w:rPr>
      <w:b/>
      <w:bCs/>
    </w:rPr>
  </w:style>
  <w:style w:type="paragraph" w:styleId="Akapitzlist">
    <w:name w:val="List Paragraph"/>
    <w:basedOn w:val="Normalny"/>
    <w:uiPriority w:val="34"/>
    <w:qFormat/>
    <w:rsid w:val="00BA45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106"/>
  </w:style>
  <w:style w:type="paragraph" w:styleId="Stopka">
    <w:name w:val="footer"/>
    <w:basedOn w:val="Normalny"/>
    <w:link w:val="StopkaZnak"/>
    <w:uiPriority w:val="99"/>
    <w:unhideWhenUsed/>
    <w:rsid w:val="008A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2114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Zyśko Michał</dc:creator>
  <cp:keywords/>
  <dc:description/>
  <cp:lastModifiedBy>Marcin Wroniecki</cp:lastModifiedBy>
  <cp:revision>6</cp:revision>
  <dcterms:created xsi:type="dcterms:W3CDTF">2026-02-25T12:02:00Z</dcterms:created>
  <dcterms:modified xsi:type="dcterms:W3CDTF">2026-03-26T12:00:00Z</dcterms:modified>
</cp:coreProperties>
</file>